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080"/>
        <w:tblBorders>
          <w:top w:val="none" w:color="FFFFFF" w:sz="0"/>
          <w:left w:val="none" w:color="FFFFFF" w:sz="0"/>
          <w:bottom w:val="none" w:color="FFFFFF" w:sz="0"/>
          <w:right w:val="none" w:color="FFFFFF" w:sz="0"/>
          <w:insideH w:val="single" w:color="auto" w:sz="4"/>
          <w:insideV w:val="single" w:color="auto" w:sz="4"/>
        </w:tblBorders>
      </w:tblPr>
      <w:tblGrid>
        <w:gridCol w:w="3400"/>
        <w:gridCol w:w="6680"/>
      </w:tblGrid>
      <w:tr>
        <w:tc>
          <w:tcPr>
            <w:tcW w:type="dxa" w:w="3400"/>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0"/>
            </w:pPr>
            <w:r>
              <w:drawing>
                <wp:inline distT="0" distB="0" distL="0" distR="0">
                  <wp:extent cx="1619250" cy="257175"/>
                  <wp:effectExtent t="0" r="0" b="0" l="0"/>
                  <wp:docPr id="1" name="FliteHouse" descr="wordmark" title="FliteHo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619250" cy="257175"/>
                          </a:xfrm>
                          <a:prstGeom prst="rect">
                            <a:avLst/>
                          </a:prstGeom>
                        </pic:spPr>
                      </pic:pic>
                    </a:graphicData>
                  </a:graphic>
                </wp:inline>
              </w:drawing>
            </w:r>
          </w:p>
        </w:tc>
        <w:tc>
          <w:tcPr>
            <w:tcW w:type="dxa" w:w="6680"/>
            <w:tcBorders>
              <w:top w:val="none" w:color="FFFFFF" w:sz="0"/>
              <w:left w:val="none" w:color="FFFFFF" w:sz="0"/>
              <w:bottom w:val="none" w:color="FFFFFF" w:sz="0"/>
              <w:right w:val="none" w:color="FFFFFF" w:sz="0"/>
            </w:tcBorders>
            <w:tcMar>
              <w:top w:type="dxa" w:w="0"/>
              <w:left w:type="dxa" w:w="0"/>
              <w:bottom w:type="dxa" w:w="0"/>
              <w:right w:type="dxa" w:w="0"/>
            </w:tcMar>
            <w:vAlign w:val="center"/>
          </w:tcPr>
          <w:p>
            <w:pPr>
              <w:spacing w:after="0"/>
              <w:jc w:val="right"/>
            </w:pPr>
            <w:r>
              <w:rPr>
                <w:rFonts w:ascii="Arial" w:cs="Arial" w:eastAsia="Arial" w:hAnsi="Arial"/>
                <w:color w:val="000000"/>
                <w:spacing w:val="30"/>
                <w:sz w:val="15"/>
                <w:szCs w:val="15"/>
              </w:rPr>
              <w:t xml:space="preserve">SENY · AGENT TESTING · V1.0</w:t>
            </w:r>
          </w:p>
        </w:tc>
      </w:tr>
    </w:tbl>
    <w:p>
      <w:pPr>
        <w:pBdr>
          <w:bottom w:val="single" w:color="111111" w:sz="12" w:space="1"/>
        </w:pBdr>
        <w:spacing w:after="140" w:before="240"/>
      </w:pPr>
      <w:r>
        <w:rPr>
          <w:sz w:val="2"/>
          <w:szCs w:val="2"/>
        </w:rPr>
        <w:t xml:space="preserve"/>
      </w:r>
    </w:p>
    <w:p>
      <w:pPr>
        <w:spacing w:after="80"/>
      </w:pPr>
      <w:r>
        <w:rPr>
          <w:rFonts w:ascii="Arial" w:cs="Arial" w:eastAsia="Arial" w:hAnsi="Arial"/>
          <w:color w:val="6E6E6E"/>
          <w:spacing w:val="30"/>
          <w:sz w:val="15"/>
          <w:szCs w:val="15"/>
        </w:rPr>
        <w:t xml:space="preserve">SETUP GUIDE · SENY</w:t>
      </w:r>
    </w:p>
    <w:p>
      <w:pPr>
        <w:spacing w:after="0" w:before="120"/>
      </w:pPr>
      <w:r>
        <w:rPr>
          <w:rFonts w:ascii="Arial" w:cs="Arial" w:eastAsia="Arial" w:hAnsi="Arial"/>
          <w:b/>
          <w:bCs/>
          <w:color w:val="000000"/>
          <w:sz w:val="64"/>
          <w:szCs w:val="64"/>
        </w:rPr>
        <w:t xml:space="preserve">Test your agent</w:t>
      </w:r>
    </w:p>
    <w:p>
      <w:pPr>
        <w:spacing w:after="150" w:before="120"/>
      </w:pPr>
      <w:r>
        <w:rPr>
          <w:rFonts w:ascii="Arial" w:cs="Arial" w:eastAsia="Arial" w:hAnsi="Arial"/>
          <w:b/>
          <w:bCs/>
          <w:color w:val="000000"/>
          <w:sz w:val="64"/>
          <w:szCs w:val="64"/>
        </w:rPr>
        <w:t xml:space="preserve">before launch.</w:t>
      </w:r>
    </w:p>
    <w:p>
      <w:pPr>
        <w:shd w:fill="66A38F" w:color="auto" w:val="clear"/>
        <w:spacing w:after="0"/>
        <w:ind w:right="8580"/>
      </w:pPr>
      <w:r>
        <w:rPr>
          <w:sz w:val="14"/>
          <w:szCs w:val="14"/>
        </w:rPr>
        <w:t xml:space="preserve"/>
      </w:r>
    </w:p>
    <w:p>
      <w:pPr>
        <w:spacing w:after="0" w:before="200"/>
      </w:pPr>
      <w:r>
        <w:rPr>
          <w:sz w:val="2"/>
          <w:szCs w:val="2"/>
        </w:rPr>
        <w:t xml:space="preserve"/>
      </w:r>
    </w:p>
    <w:p>
      <w:pPr>
        <w:spacing w:after="120" w:line="276"/>
      </w:pPr>
      <w:r>
        <w:rPr>
          <w:rFonts w:ascii="Arial" w:cs="Arial" w:eastAsia="Arial" w:hAnsi="Arial"/>
          <w:color w:val="111111"/>
          <w:sz w:val="23"/>
          <w:szCs w:val="23"/>
        </w:rPr>
        <w:t xml:space="preserve">There are three ways to test a Seny agent and each one covers a different part of the experience. Knowing which is which saves time, because the in-app preview deliberately does less than the live widget does.</w:t>
      </w:r>
    </w:p>
    <w:p>
      <w:pPr>
        <w:pBdr>
          <w:bottom w:val="single" w:color="DCDCDC" w:sz="6" w:space="1"/>
        </w:pBdr>
        <w:spacing w:after="120" w:before="140"/>
      </w:pPr>
      <w:r>
        <w:rPr>
          <w:sz w:val="2"/>
          <w:szCs w:val="2"/>
        </w:rPr>
        <w:t xml:space="preserve"/>
      </w:r>
    </w:p>
    <w:p>
      <w:pPr>
        <w:keepNext/>
        <w:spacing w:after="30"/>
      </w:pPr>
      <w:r>
        <w:rPr>
          <w:rFonts w:ascii="Arial" w:cs="Arial" w:eastAsia="Arial" w:hAnsi="Arial"/>
          <w:b/>
          <w:bCs/>
          <w:color w:val="FFFFFF"/>
          <w:sz w:val="16"/>
          <w:szCs w:val="16"/>
          <w:shd w:fill="66A38F" w:color="auto" w:val="clear"/>
        </w:rPr>
        <w:t xml:space="preserve"> A </w:t>
      </w:r>
      <w:r>
        <w:rPr>
          <w:sz w:val="16"/>
          <w:szCs w:val="16"/>
        </w:rPr>
        <w:t xml:space="preserve">  </w:t>
      </w:r>
      <w:r>
        <w:rPr>
          <w:rFonts w:ascii="Arial" w:cs="Arial" w:eastAsia="Arial" w:hAnsi="Arial"/>
          <w:color w:val="6E6E6E"/>
          <w:spacing w:val="30"/>
          <w:sz w:val="15"/>
          <w:szCs w:val="15"/>
        </w:rPr>
        <w:t xml:space="preserve">SECTION A</w:t>
      </w:r>
    </w:p>
    <w:p>
      <w:pPr>
        <w:keepNext/>
        <w:spacing w:after="110" w:before="40"/>
      </w:pPr>
      <w:r>
        <w:rPr>
          <w:rFonts w:ascii="Arial" w:cs="Arial" w:eastAsia="Arial" w:hAnsi="Arial"/>
          <w:b/>
          <w:bCs/>
          <w:color w:val="000000"/>
          <w:sz w:val="34"/>
          <w:szCs w:val="34"/>
        </w:rPr>
        <w:t xml:space="preserve">WHAT EACH METHOD COVERS.</w:t>
      </w:r>
    </w:p>
    <w:tbl>
      <w:tblPr>
        <w:tblW w:type="dxa" w:w="10080"/>
        <w:tblBorders>
          <w:top w:val="none" w:color="FFFFFF" w:sz="0"/>
          <w:left w:val="none" w:color="FFFFFF" w:sz="0"/>
          <w:bottom w:val="none" w:color="FFFFFF" w:sz="0"/>
          <w:right w:val="none" w:color="FFFFFF" w:sz="0"/>
          <w:insideH w:val="single" w:color="auto" w:sz="4"/>
          <w:insideV w:val="single" w:color="auto" w:sz="4"/>
        </w:tblBorders>
      </w:tblPr>
      <w:tblGrid>
        <w:gridCol w:w="3660"/>
        <w:gridCol w:w="2140"/>
        <w:gridCol w:w="2140"/>
        <w:gridCol w:w="2140"/>
      </w:tblGrid>
      <w:tr>
        <w:tc>
          <w:tcPr>
            <w:tcW w:type="dxa" w:w="3660"/>
            <w:tcBorders>
              <w:top w:val="none" w:color="FFFFFF" w:sz="0"/>
              <w:left w:val="none" w:color="FFFFFF" w:sz="0"/>
              <w:bottom w:val="single" w:color="111111" w:sz="6" w:space="0"/>
              <w:right w:val="none" w:color="FFFFFF" w:sz="0"/>
            </w:tcBorders>
            <w:tcMar>
              <w:top w:type="dxa" w:w="70"/>
              <w:left w:type="dxa" w:w="0"/>
              <w:bottom w:type="dxa" w:w="70"/>
              <w:right w:type="dxa" w:w="100"/>
            </w:tcMar>
            <w:vAlign w:val="center"/>
          </w:tcPr>
          <w:p>
            <w:pPr>
              <w:spacing w:after="0"/>
              <w:jc w:val="left"/>
            </w:pPr>
            <w:r>
              <w:rPr>
                <w:rFonts w:ascii="Arial" w:cs="Arial" w:eastAsia="Arial" w:hAnsi="Arial"/>
                <w:color w:val="000000"/>
                <w:spacing w:val="24"/>
                <w:sz w:val="15"/>
                <w:szCs w:val="15"/>
              </w:rPr>
              <w:t xml:space="preserve"/>
            </w:r>
          </w:p>
        </w:tc>
        <w:tc>
          <w:tcPr>
            <w:tcW w:type="dxa" w:w="2140"/>
            <w:tcBorders>
              <w:top w:val="none" w:color="FFFFFF" w:sz="0"/>
              <w:left w:val="none" w:color="FFFFFF" w:sz="0"/>
              <w:bottom w:val="single" w:color="111111" w:sz="6" w:space="0"/>
              <w:right w:val="none" w:color="FFFFFF" w:sz="0"/>
            </w:tcBorders>
            <w:tcMar>
              <w:top w:type="dxa" w:w="70"/>
              <w:left w:type="dxa" w:w="0"/>
              <w:bottom w:type="dxa" w:w="70"/>
              <w:right w:type="dxa" w:w="100"/>
            </w:tcMar>
            <w:vAlign w:val="center"/>
          </w:tcPr>
          <w:p>
            <w:pPr>
              <w:spacing w:after="0"/>
              <w:jc w:val="left"/>
            </w:pPr>
            <w:r>
              <w:rPr>
                <w:rFonts w:ascii="Arial" w:cs="Arial" w:eastAsia="Arial" w:hAnsi="Arial"/>
                <w:color w:val="000000"/>
                <w:spacing w:val="24"/>
                <w:sz w:val="15"/>
                <w:szCs w:val="15"/>
              </w:rPr>
              <w:t xml:space="preserve">IN-APP PREVIEW</w:t>
            </w:r>
          </w:p>
        </w:tc>
        <w:tc>
          <w:tcPr>
            <w:tcW w:type="dxa" w:w="2140"/>
            <w:tcBorders>
              <w:top w:val="none" w:color="FFFFFF" w:sz="0"/>
              <w:left w:val="none" w:color="FFFFFF" w:sz="0"/>
              <w:bottom w:val="single" w:color="111111" w:sz="6" w:space="0"/>
              <w:right w:val="none" w:color="FFFFFF" w:sz="0"/>
            </w:tcBorders>
            <w:tcMar>
              <w:top w:type="dxa" w:w="70"/>
              <w:left w:type="dxa" w:w="0"/>
              <w:bottom w:type="dxa" w:w="70"/>
              <w:right w:type="dxa" w:w="100"/>
            </w:tcMar>
            <w:vAlign w:val="center"/>
          </w:tcPr>
          <w:p>
            <w:pPr>
              <w:spacing w:after="0"/>
              <w:jc w:val="left"/>
            </w:pPr>
            <w:r>
              <w:rPr>
                <w:rFonts w:ascii="Arial" w:cs="Arial" w:eastAsia="Arial" w:hAnsi="Arial"/>
                <w:color w:val="000000"/>
                <w:spacing w:val="24"/>
                <w:sz w:val="15"/>
                <w:szCs w:val="15"/>
              </w:rPr>
              <w:t xml:space="preserve">CHROME EXTENSION</w:t>
            </w:r>
          </w:p>
        </w:tc>
        <w:tc>
          <w:tcPr>
            <w:tcW w:type="dxa" w:w="2140"/>
            <w:tcBorders>
              <w:top w:val="none" w:color="FFFFFF" w:sz="0"/>
              <w:left w:val="none" w:color="FFFFFF" w:sz="0"/>
              <w:bottom w:val="single" w:color="111111" w:sz="6" w:space="0"/>
              <w:right w:val="none" w:color="FFFFFF" w:sz="0"/>
            </w:tcBorders>
            <w:tcMar>
              <w:top w:type="dxa" w:w="70"/>
              <w:left w:type="dxa" w:w="0"/>
              <w:bottom w:type="dxa" w:w="70"/>
              <w:right w:type="dxa" w:w="100"/>
            </w:tcMar>
            <w:vAlign w:val="center"/>
          </w:tcPr>
          <w:p>
            <w:pPr>
              <w:spacing w:after="0"/>
              <w:jc w:val="left"/>
            </w:pPr>
            <w:r>
              <w:rPr>
                <w:rFonts w:ascii="Arial" w:cs="Arial" w:eastAsia="Arial" w:hAnsi="Arial"/>
                <w:color w:val="000000"/>
                <w:spacing w:val="24"/>
                <w:sz w:val="15"/>
                <w:szCs w:val="15"/>
              </w:rPr>
              <w:t xml:space="preserve">LIVE ON SITE</w:t>
            </w:r>
          </w:p>
        </w:tc>
      </w:tr>
      <w:tr>
        <w:tc>
          <w:tcPr>
            <w:tcW w:type="dxa" w:w="3660"/>
            <w:tcBorders>
              <w:top w:val="none" w:color="FFFFFF" w:sz="0"/>
              <w:left w:val="none" w:color="FFFFFF" w:sz="0"/>
              <w:bottom w:val="single" w:color="DCDCDC" w:sz="6" w:space="0"/>
              <w:right w:val="none" w:color="FFFFFF" w:sz="0"/>
            </w:tcBorders>
            <w:tcMar>
              <w:top w:type="dxa" w:w="70"/>
              <w:left w:type="dxa" w:w="0"/>
              <w:bottom w:type="dxa" w:w="70"/>
              <w:right w:type="dxa" w:w="100"/>
            </w:tcMar>
            <w:vAlign w:val="center"/>
          </w:tcPr>
          <w:p>
            <w:pPr>
              <w:spacing w:after="0"/>
              <w:jc w:val="left"/>
            </w:pPr>
            <w:r>
              <w:rPr>
                <w:rFonts w:ascii="Arial" w:cs="Arial" w:eastAsia="Arial" w:hAnsi="Arial"/>
                <w:b/>
                <w:bCs/>
                <w:color w:val="111111"/>
                <w:sz w:val="19"/>
                <w:szCs w:val="19"/>
              </w:rPr>
              <w:t xml:space="preserve">Voice and conversation</w:t>
            </w:r>
          </w:p>
        </w:tc>
        <w:tc>
          <w:tcPr>
            <w:tcW w:type="dxa" w:w="2140"/>
            <w:tcBorders>
              <w:top w:val="none" w:color="FFFFFF" w:sz="0"/>
              <w:left w:val="none" w:color="FFFFFF" w:sz="0"/>
              <w:bottom w:val="single" w:color="DCDCDC" w:sz="6" w:space="0"/>
              <w:right w:val="none" w:color="FFFFFF" w:sz="0"/>
            </w:tcBorders>
            <w:tcMar>
              <w:top w:type="dxa" w:w="70"/>
              <w:left w:type="dxa" w:w="0"/>
              <w:bottom w:type="dxa" w:w="70"/>
              <w:right w:type="dxa" w:w="100"/>
            </w:tcMar>
            <w:vAlign w:val="center"/>
          </w:tcPr>
          <w:p>
            <w:pPr>
              <w:spacing w:after="0"/>
              <w:jc w:val="left"/>
            </w:pPr>
            <w:r>
              <w:rPr>
                <w:rFonts w:ascii="Arial" w:cs="Arial" w:eastAsia="Arial" w:hAnsi="Arial"/>
                <w:b w:val="false"/>
                <w:bCs w:val="false"/>
                <w:color w:val="111111"/>
                <w:sz w:val="19"/>
                <w:szCs w:val="19"/>
              </w:rPr>
              <w:t xml:space="preserve">Yes</w:t>
            </w:r>
          </w:p>
        </w:tc>
        <w:tc>
          <w:tcPr>
            <w:tcW w:type="dxa" w:w="2140"/>
            <w:tcBorders>
              <w:top w:val="none" w:color="FFFFFF" w:sz="0"/>
              <w:left w:val="none" w:color="FFFFFF" w:sz="0"/>
              <w:bottom w:val="single" w:color="DCDCDC" w:sz="6" w:space="0"/>
              <w:right w:val="none" w:color="FFFFFF" w:sz="0"/>
            </w:tcBorders>
            <w:tcMar>
              <w:top w:type="dxa" w:w="70"/>
              <w:left w:type="dxa" w:w="0"/>
              <w:bottom w:type="dxa" w:w="70"/>
              <w:right w:type="dxa" w:w="100"/>
            </w:tcMar>
            <w:vAlign w:val="center"/>
          </w:tcPr>
          <w:p>
            <w:pPr>
              <w:spacing w:after="0"/>
              <w:jc w:val="left"/>
            </w:pPr>
            <w:r>
              <w:rPr>
                <w:rFonts w:ascii="Arial" w:cs="Arial" w:eastAsia="Arial" w:hAnsi="Arial"/>
                <w:b w:val="false"/>
                <w:bCs w:val="false"/>
                <w:color w:val="111111"/>
                <w:sz w:val="19"/>
                <w:szCs w:val="19"/>
              </w:rPr>
              <w:t xml:space="preserve">Yes</w:t>
            </w:r>
          </w:p>
        </w:tc>
        <w:tc>
          <w:tcPr>
            <w:tcW w:type="dxa" w:w="2140"/>
            <w:tcBorders>
              <w:top w:val="none" w:color="FFFFFF" w:sz="0"/>
              <w:left w:val="none" w:color="FFFFFF" w:sz="0"/>
              <w:bottom w:val="single" w:color="DCDCDC" w:sz="6" w:space="0"/>
              <w:right w:val="none" w:color="FFFFFF" w:sz="0"/>
            </w:tcBorders>
            <w:tcMar>
              <w:top w:type="dxa" w:w="70"/>
              <w:left w:type="dxa" w:w="0"/>
              <w:bottom w:type="dxa" w:w="70"/>
              <w:right w:type="dxa" w:w="100"/>
            </w:tcMar>
            <w:vAlign w:val="center"/>
          </w:tcPr>
          <w:p>
            <w:pPr>
              <w:spacing w:after="0"/>
              <w:jc w:val="left"/>
            </w:pPr>
            <w:r>
              <w:rPr>
                <w:rFonts w:ascii="Arial" w:cs="Arial" w:eastAsia="Arial" w:hAnsi="Arial"/>
                <w:b w:val="false"/>
                <w:bCs w:val="false"/>
                <w:color w:val="111111"/>
                <w:sz w:val="19"/>
                <w:szCs w:val="19"/>
              </w:rPr>
              <w:t xml:space="preserve">Yes</w:t>
            </w:r>
          </w:p>
        </w:tc>
      </w:tr>
      <w:tr>
        <w:tc>
          <w:tcPr>
            <w:tcW w:type="dxa" w:w="3660"/>
            <w:tcBorders>
              <w:top w:val="none" w:color="FFFFFF" w:sz="0"/>
              <w:left w:val="none" w:color="FFFFFF" w:sz="0"/>
              <w:bottom w:val="single" w:color="DCDCDC" w:sz="6" w:space="0"/>
              <w:right w:val="none" w:color="FFFFFF" w:sz="0"/>
            </w:tcBorders>
            <w:tcMar>
              <w:top w:type="dxa" w:w="70"/>
              <w:left w:type="dxa" w:w="0"/>
              <w:bottom w:type="dxa" w:w="70"/>
              <w:right w:type="dxa" w:w="100"/>
            </w:tcMar>
            <w:vAlign w:val="center"/>
          </w:tcPr>
          <w:p>
            <w:pPr>
              <w:spacing w:after="0"/>
              <w:jc w:val="left"/>
            </w:pPr>
            <w:r>
              <w:rPr>
                <w:rFonts w:ascii="Arial" w:cs="Arial" w:eastAsia="Arial" w:hAnsi="Arial"/>
                <w:b/>
                <w:bCs/>
                <w:color w:val="111111"/>
                <w:sz w:val="19"/>
                <w:szCs w:val="19"/>
              </w:rPr>
              <w:t xml:space="preserve">Reading page content</w:t>
            </w:r>
          </w:p>
        </w:tc>
        <w:tc>
          <w:tcPr>
            <w:tcW w:type="dxa" w:w="2140"/>
            <w:tcBorders>
              <w:top w:val="none" w:color="FFFFFF" w:sz="0"/>
              <w:left w:val="none" w:color="FFFFFF" w:sz="0"/>
              <w:bottom w:val="single" w:color="DCDCDC" w:sz="6" w:space="0"/>
              <w:right w:val="none" w:color="FFFFFF" w:sz="0"/>
            </w:tcBorders>
            <w:tcMar>
              <w:top w:type="dxa" w:w="70"/>
              <w:left w:type="dxa" w:w="0"/>
              <w:bottom w:type="dxa" w:w="70"/>
              <w:right w:type="dxa" w:w="100"/>
            </w:tcMar>
            <w:vAlign w:val="center"/>
          </w:tcPr>
          <w:p>
            <w:pPr>
              <w:spacing w:after="0"/>
              <w:jc w:val="left"/>
            </w:pPr>
            <w:r>
              <w:rPr>
                <w:rFonts w:ascii="Arial" w:cs="Arial" w:eastAsia="Arial" w:hAnsi="Arial"/>
                <w:b w:val="false"/>
                <w:bCs w:val="false"/>
                <w:color w:val="6E6E6E"/>
                <w:sz w:val="19"/>
                <w:szCs w:val="19"/>
              </w:rPr>
              <w:t xml:space="preserve">No</w:t>
            </w:r>
          </w:p>
        </w:tc>
        <w:tc>
          <w:tcPr>
            <w:tcW w:type="dxa" w:w="2140"/>
            <w:tcBorders>
              <w:top w:val="none" w:color="FFFFFF" w:sz="0"/>
              <w:left w:val="none" w:color="FFFFFF" w:sz="0"/>
              <w:bottom w:val="single" w:color="DCDCDC" w:sz="6" w:space="0"/>
              <w:right w:val="none" w:color="FFFFFF" w:sz="0"/>
            </w:tcBorders>
            <w:tcMar>
              <w:top w:type="dxa" w:w="70"/>
              <w:left w:type="dxa" w:w="0"/>
              <w:bottom w:type="dxa" w:w="70"/>
              <w:right w:type="dxa" w:w="100"/>
            </w:tcMar>
            <w:vAlign w:val="center"/>
          </w:tcPr>
          <w:p>
            <w:pPr>
              <w:spacing w:after="0"/>
              <w:jc w:val="left"/>
            </w:pPr>
            <w:r>
              <w:rPr>
                <w:rFonts w:ascii="Arial" w:cs="Arial" w:eastAsia="Arial" w:hAnsi="Arial"/>
                <w:b w:val="false"/>
                <w:bCs w:val="false"/>
                <w:color w:val="111111"/>
                <w:sz w:val="19"/>
                <w:szCs w:val="19"/>
              </w:rPr>
              <w:t xml:space="preserve">Yes</w:t>
            </w:r>
          </w:p>
        </w:tc>
        <w:tc>
          <w:tcPr>
            <w:tcW w:type="dxa" w:w="2140"/>
            <w:tcBorders>
              <w:top w:val="none" w:color="FFFFFF" w:sz="0"/>
              <w:left w:val="none" w:color="FFFFFF" w:sz="0"/>
              <w:bottom w:val="single" w:color="DCDCDC" w:sz="6" w:space="0"/>
              <w:right w:val="none" w:color="FFFFFF" w:sz="0"/>
            </w:tcBorders>
            <w:tcMar>
              <w:top w:type="dxa" w:w="70"/>
              <w:left w:type="dxa" w:w="0"/>
              <w:bottom w:type="dxa" w:w="70"/>
              <w:right w:type="dxa" w:w="100"/>
            </w:tcMar>
            <w:vAlign w:val="center"/>
          </w:tcPr>
          <w:p>
            <w:pPr>
              <w:spacing w:after="0"/>
              <w:jc w:val="left"/>
            </w:pPr>
            <w:r>
              <w:rPr>
                <w:rFonts w:ascii="Arial" w:cs="Arial" w:eastAsia="Arial" w:hAnsi="Arial"/>
                <w:b w:val="false"/>
                <w:bCs w:val="false"/>
                <w:color w:val="111111"/>
                <w:sz w:val="19"/>
                <w:szCs w:val="19"/>
              </w:rPr>
              <w:t xml:space="preserve">Yes</w:t>
            </w:r>
          </w:p>
        </w:tc>
      </w:tr>
      <w:tr>
        <w:tc>
          <w:tcPr>
            <w:tcW w:type="dxa" w:w="3660"/>
            <w:tcBorders>
              <w:top w:val="none" w:color="FFFFFF" w:sz="0"/>
              <w:left w:val="none" w:color="FFFFFF" w:sz="0"/>
              <w:bottom w:val="single" w:color="DCDCDC" w:sz="6" w:space="0"/>
              <w:right w:val="none" w:color="FFFFFF" w:sz="0"/>
            </w:tcBorders>
            <w:tcMar>
              <w:top w:type="dxa" w:w="70"/>
              <w:left w:type="dxa" w:w="0"/>
              <w:bottom w:type="dxa" w:w="70"/>
              <w:right w:type="dxa" w:w="100"/>
            </w:tcMar>
            <w:vAlign w:val="center"/>
          </w:tcPr>
          <w:p>
            <w:pPr>
              <w:spacing w:after="0"/>
              <w:jc w:val="left"/>
            </w:pPr>
            <w:r>
              <w:rPr>
                <w:rFonts w:ascii="Arial" w:cs="Arial" w:eastAsia="Arial" w:hAnsi="Arial"/>
                <w:b/>
                <w:bCs/>
                <w:color w:val="111111"/>
                <w:sz w:val="19"/>
                <w:szCs w:val="19"/>
              </w:rPr>
              <w:t xml:space="preserve">Opening inventory pages</w:t>
            </w:r>
          </w:p>
        </w:tc>
        <w:tc>
          <w:tcPr>
            <w:tcW w:type="dxa" w:w="2140"/>
            <w:tcBorders>
              <w:top w:val="none" w:color="FFFFFF" w:sz="0"/>
              <w:left w:val="none" w:color="FFFFFF" w:sz="0"/>
              <w:bottom w:val="single" w:color="DCDCDC" w:sz="6" w:space="0"/>
              <w:right w:val="none" w:color="FFFFFF" w:sz="0"/>
            </w:tcBorders>
            <w:tcMar>
              <w:top w:type="dxa" w:w="70"/>
              <w:left w:type="dxa" w:w="0"/>
              <w:bottom w:type="dxa" w:w="70"/>
              <w:right w:type="dxa" w:w="100"/>
            </w:tcMar>
            <w:vAlign w:val="center"/>
          </w:tcPr>
          <w:p>
            <w:pPr>
              <w:spacing w:after="0"/>
              <w:jc w:val="left"/>
            </w:pPr>
            <w:r>
              <w:rPr>
                <w:rFonts w:ascii="Arial" w:cs="Arial" w:eastAsia="Arial" w:hAnsi="Arial"/>
                <w:b w:val="false"/>
                <w:bCs w:val="false"/>
                <w:color w:val="6E6E6E"/>
                <w:sz w:val="19"/>
                <w:szCs w:val="19"/>
              </w:rPr>
              <w:t xml:space="preserve">No</w:t>
            </w:r>
          </w:p>
        </w:tc>
        <w:tc>
          <w:tcPr>
            <w:tcW w:type="dxa" w:w="2140"/>
            <w:tcBorders>
              <w:top w:val="none" w:color="FFFFFF" w:sz="0"/>
              <w:left w:val="none" w:color="FFFFFF" w:sz="0"/>
              <w:bottom w:val="single" w:color="DCDCDC" w:sz="6" w:space="0"/>
              <w:right w:val="none" w:color="FFFFFF" w:sz="0"/>
            </w:tcBorders>
            <w:tcMar>
              <w:top w:type="dxa" w:w="70"/>
              <w:left w:type="dxa" w:w="0"/>
              <w:bottom w:type="dxa" w:w="70"/>
              <w:right w:type="dxa" w:w="100"/>
            </w:tcMar>
            <w:vAlign w:val="center"/>
          </w:tcPr>
          <w:p>
            <w:pPr>
              <w:spacing w:after="0"/>
              <w:jc w:val="left"/>
            </w:pPr>
            <w:r>
              <w:rPr>
                <w:rFonts w:ascii="Arial" w:cs="Arial" w:eastAsia="Arial" w:hAnsi="Arial"/>
                <w:b w:val="false"/>
                <w:bCs w:val="false"/>
                <w:color w:val="111111"/>
                <w:sz w:val="19"/>
                <w:szCs w:val="19"/>
              </w:rPr>
              <w:t xml:space="preserve">Yes</w:t>
            </w:r>
          </w:p>
        </w:tc>
        <w:tc>
          <w:tcPr>
            <w:tcW w:type="dxa" w:w="2140"/>
            <w:tcBorders>
              <w:top w:val="none" w:color="FFFFFF" w:sz="0"/>
              <w:left w:val="none" w:color="FFFFFF" w:sz="0"/>
              <w:bottom w:val="single" w:color="DCDCDC" w:sz="6" w:space="0"/>
              <w:right w:val="none" w:color="FFFFFF" w:sz="0"/>
            </w:tcBorders>
            <w:tcMar>
              <w:top w:type="dxa" w:w="70"/>
              <w:left w:type="dxa" w:w="0"/>
              <w:bottom w:type="dxa" w:w="70"/>
              <w:right w:type="dxa" w:w="100"/>
            </w:tcMar>
            <w:vAlign w:val="center"/>
          </w:tcPr>
          <w:p>
            <w:pPr>
              <w:spacing w:after="0"/>
              <w:jc w:val="left"/>
            </w:pPr>
            <w:r>
              <w:rPr>
                <w:rFonts w:ascii="Arial" w:cs="Arial" w:eastAsia="Arial" w:hAnsi="Arial"/>
                <w:b w:val="false"/>
                <w:bCs w:val="false"/>
                <w:color w:val="111111"/>
                <w:sz w:val="19"/>
                <w:szCs w:val="19"/>
              </w:rPr>
              <w:t xml:space="preserve">Yes</w:t>
            </w:r>
          </w:p>
        </w:tc>
      </w:tr>
      <w:tr>
        <w:tc>
          <w:tcPr>
            <w:tcW w:type="dxa" w:w="3660"/>
            <w:tcBorders>
              <w:top w:val="none" w:color="FFFFFF" w:sz="0"/>
              <w:left w:val="none" w:color="FFFFFF" w:sz="0"/>
              <w:bottom w:val="single" w:color="DCDCDC" w:sz="6" w:space="0"/>
              <w:right w:val="none" w:color="FFFFFF" w:sz="0"/>
            </w:tcBorders>
            <w:tcMar>
              <w:top w:type="dxa" w:w="70"/>
              <w:left w:type="dxa" w:w="0"/>
              <w:bottom w:type="dxa" w:w="70"/>
              <w:right w:type="dxa" w:w="100"/>
            </w:tcMar>
            <w:vAlign w:val="center"/>
          </w:tcPr>
          <w:p>
            <w:pPr>
              <w:spacing w:after="0"/>
              <w:jc w:val="left"/>
            </w:pPr>
            <w:r>
              <w:rPr>
                <w:rFonts w:ascii="Arial" w:cs="Arial" w:eastAsia="Arial" w:hAnsi="Arial"/>
                <w:b/>
                <w:bCs/>
                <w:color w:val="111111"/>
                <w:sz w:val="19"/>
                <w:szCs w:val="19"/>
              </w:rPr>
              <w:t xml:space="preserve">Pulling up a vehicle</w:t>
            </w:r>
          </w:p>
        </w:tc>
        <w:tc>
          <w:tcPr>
            <w:tcW w:type="dxa" w:w="2140"/>
            <w:tcBorders>
              <w:top w:val="none" w:color="FFFFFF" w:sz="0"/>
              <w:left w:val="none" w:color="FFFFFF" w:sz="0"/>
              <w:bottom w:val="single" w:color="DCDCDC" w:sz="6" w:space="0"/>
              <w:right w:val="none" w:color="FFFFFF" w:sz="0"/>
            </w:tcBorders>
            <w:tcMar>
              <w:top w:type="dxa" w:w="70"/>
              <w:left w:type="dxa" w:w="0"/>
              <w:bottom w:type="dxa" w:w="70"/>
              <w:right w:type="dxa" w:w="100"/>
            </w:tcMar>
            <w:vAlign w:val="center"/>
          </w:tcPr>
          <w:p>
            <w:pPr>
              <w:spacing w:after="0"/>
              <w:jc w:val="left"/>
            </w:pPr>
            <w:r>
              <w:rPr>
                <w:rFonts w:ascii="Arial" w:cs="Arial" w:eastAsia="Arial" w:hAnsi="Arial"/>
                <w:b w:val="false"/>
                <w:bCs w:val="false"/>
                <w:color w:val="6E6E6E"/>
                <w:sz w:val="19"/>
                <w:szCs w:val="19"/>
              </w:rPr>
              <w:t xml:space="preserve">No</w:t>
            </w:r>
          </w:p>
        </w:tc>
        <w:tc>
          <w:tcPr>
            <w:tcW w:type="dxa" w:w="2140"/>
            <w:tcBorders>
              <w:top w:val="none" w:color="FFFFFF" w:sz="0"/>
              <w:left w:val="none" w:color="FFFFFF" w:sz="0"/>
              <w:bottom w:val="single" w:color="DCDCDC" w:sz="6" w:space="0"/>
              <w:right w:val="none" w:color="FFFFFF" w:sz="0"/>
            </w:tcBorders>
            <w:tcMar>
              <w:top w:type="dxa" w:w="70"/>
              <w:left w:type="dxa" w:w="0"/>
              <w:bottom w:type="dxa" w:w="70"/>
              <w:right w:type="dxa" w:w="100"/>
            </w:tcMar>
            <w:vAlign w:val="center"/>
          </w:tcPr>
          <w:p>
            <w:pPr>
              <w:spacing w:after="0"/>
              <w:jc w:val="left"/>
            </w:pPr>
            <w:r>
              <w:rPr>
                <w:rFonts w:ascii="Arial" w:cs="Arial" w:eastAsia="Arial" w:hAnsi="Arial"/>
                <w:b w:val="false"/>
                <w:bCs w:val="false"/>
                <w:color w:val="111111"/>
                <w:sz w:val="19"/>
                <w:szCs w:val="19"/>
              </w:rPr>
              <w:t xml:space="preserve">Yes</w:t>
            </w:r>
          </w:p>
        </w:tc>
        <w:tc>
          <w:tcPr>
            <w:tcW w:type="dxa" w:w="2140"/>
            <w:tcBorders>
              <w:top w:val="none" w:color="FFFFFF" w:sz="0"/>
              <w:left w:val="none" w:color="FFFFFF" w:sz="0"/>
              <w:bottom w:val="single" w:color="DCDCDC" w:sz="6" w:space="0"/>
              <w:right w:val="none" w:color="FFFFFF" w:sz="0"/>
            </w:tcBorders>
            <w:tcMar>
              <w:top w:type="dxa" w:w="70"/>
              <w:left w:type="dxa" w:w="0"/>
              <w:bottom w:type="dxa" w:w="70"/>
              <w:right w:type="dxa" w:w="100"/>
            </w:tcMar>
            <w:vAlign w:val="center"/>
          </w:tcPr>
          <w:p>
            <w:pPr>
              <w:spacing w:after="0"/>
              <w:jc w:val="left"/>
            </w:pPr>
            <w:r>
              <w:rPr>
                <w:rFonts w:ascii="Arial" w:cs="Arial" w:eastAsia="Arial" w:hAnsi="Arial"/>
                <w:b w:val="false"/>
                <w:bCs w:val="false"/>
                <w:color w:val="111111"/>
                <w:sz w:val="19"/>
                <w:szCs w:val="19"/>
              </w:rPr>
              <w:t xml:space="preserve">Yes</w:t>
            </w:r>
          </w:p>
        </w:tc>
      </w:tr>
      <w:tr>
        <w:tc>
          <w:tcPr>
            <w:tcW w:type="dxa" w:w="3660"/>
            <w:tcBorders>
              <w:top w:val="none" w:color="FFFFFF" w:sz="0"/>
              <w:left w:val="none" w:color="FFFFFF" w:sz="0"/>
              <w:bottom w:val="single" w:color="DCDCDC" w:sz="6" w:space="0"/>
              <w:right w:val="none" w:color="FFFFFF" w:sz="0"/>
            </w:tcBorders>
            <w:tcMar>
              <w:top w:type="dxa" w:w="70"/>
              <w:left w:type="dxa" w:w="0"/>
              <w:bottom w:type="dxa" w:w="70"/>
              <w:right w:type="dxa" w:w="100"/>
            </w:tcMar>
            <w:vAlign w:val="center"/>
          </w:tcPr>
          <w:p>
            <w:pPr>
              <w:spacing w:after="0"/>
              <w:jc w:val="left"/>
            </w:pPr>
            <w:r>
              <w:rPr>
                <w:rFonts w:ascii="Arial" w:cs="Arial" w:eastAsia="Arial" w:hAnsi="Arial"/>
                <w:b/>
                <w:bCs/>
                <w:color w:val="111111"/>
                <w:sz w:val="19"/>
                <w:szCs w:val="19"/>
              </w:rPr>
              <w:t xml:space="preserve">Lead submission</w:t>
            </w:r>
          </w:p>
        </w:tc>
        <w:tc>
          <w:tcPr>
            <w:tcW w:type="dxa" w:w="2140"/>
            <w:tcBorders>
              <w:top w:val="none" w:color="FFFFFF" w:sz="0"/>
              <w:left w:val="none" w:color="FFFFFF" w:sz="0"/>
              <w:bottom w:val="single" w:color="DCDCDC" w:sz="6" w:space="0"/>
              <w:right w:val="none" w:color="FFFFFF" w:sz="0"/>
            </w:tcBorders>
            <w:tcMar>
              <w:top w:type="dxa" w:w="70"/>
              <w:left w:type="dxa" w:w="0"/>
              <w:bottom w:type="dxa" w:w="70"/>
              <w:right w:type="dxa" w:w="100"/>
            </w:tcMar>
            <w:vAlign w:val="center"/>
          </w:tcPr>
          <w:p>
            <w:pPr>
              <w:spacing w:after="0"/>
              <w:jc w:val="left"/>
            </w:pPr>
            <w:r>
              <w:rPr>
                <w:rFonts w:ascii="Arial" w:cs="Arial" w:eastAsia="Arial" w:hAnsi="Arial"/>
                <w:b w:val="false"/>
                <w:bCs w:val="false"/>
                <w:color w:val="111111"/>
                <w:sz w:val="19"/>
                <w:szCs w:val="19"/>
              </w:rPr>
              <w:t xml:space="preserve">Test mode</w:t>
            </w:r>
          </w:p>
        </w:tc>
        <w:tc>
          <w:tcPr>
            <w:tcW w:type="dxa" w:w="2140"/>
            <w:tcBorders>
              <w:top w:val="none" w:color="FFFFFF" w:sz="0"/>
              <w:left w:val="none" w:color="FFFFFF" w:sz="0"/>
              <w:bottom w:val="single" w:color="DCDCDC" w:sz="6" w:space="0"/>
              <w:right w:val="none" w:color="FFFFFF" w:sz="0"/>
            </w:tcBorders>
            <w:tcMar>
              <w:top w:type="dxa" w:w="70"/>
              <w:left w:type="dxa" w:w="0"/>
              <w:bottom w:type="dxa" w:w="70"/>
              <w:right w:type="dxa" w:w="100"/>
            </w:tcMar>
            <w:vAlign w:val="center"/>
          </w:tcPr>
          <w:p>
            <w:pPr>
              <w:spacing w:after="0"/>
              <w:jc w:val="left"/>
            </w:pPr>
            <w:r>
              <w:rPr>
                <w:rFonts w:ascii="Arial" w:cs="Arial" w:eastAsia="Arial" w:hAnsi="Arial"/>
                <w:b w:val="false"/>
                <w:bCs w:val="false"/>
                <w:color w:val="111111"/>
                <w:sz w:val="19"/>
                <w:szCs w:val="19"/>
              </w:rPr>
              <w:t xml:space="preserve">Test mode</w:t>
            </w:r>
          </w:p>
        </w:tc>
        <w:tc>
          <w:tcPr>
            <w:tcW w:type="dxa" w:w="2140"/>
            <w:tcBorders>
              <w:top w:val="none" w:color="FFFFFF" w:sz="0"/>
              <w:left w:val="none" w:color="FFFFFF" w:sz="0"/>
              <w:bottom w:val="single" w:color="DCDCDC" w:sz="6" w:space="0"/>
              <w:right w:val="none" w:color="FFFFFF" w:sz="0"/>
            </w:tcBorders>
            <w:tcMar>
              <w:top w:type="dxa" w:w="70"/>
              <w:left w:type="dxa" w:w="0"/>
              <w:bottom w:type="dxa" w:w="70"/>
              <w:right w:type="dxa" w:w="100"/>
            </w:tcMar>
            <w:vAlign w:val="center"/>
          </w:tcPr>
          <w:p>
            <w:pPr>
              <w:spacing w:after="0"/>
              <w:jc w:val="left"/>
            </w:pPr>
            <w:r>
              <w:rPr>
                <w:rFonts w:ascii="Arial" w:cs="Arial" w:eastAsia="Arial" w:hAnsi="Arial"/>
                <w:b w:val="false"/>
                <w:bCs w:val="false"/>
                <w:color w:val="111111"/>
                <w:sz w:val="19"/>
                <w:szCs w:val="19"/>
              </w:rPr>
              <w:t xml:space="preserve">Test mode</w:t>
            </w:r>
          </w:p>
        </w:tc>
      </w:tr>
    </w:tbl>
    <w:p>
      <w:pPr>
        <w:spacing w:after="120"/>
      </w:pPr>
      <w:r>
        <w:rPr>
          <w:sz w:val="2"/>
          <w:szCs w:val="2"/>
        </w:rPr>
        <w:t xml:space="preserve"/>
      </w:r>
    </w:p>
    <w:p>
      <w:pPr>
        <w:spacing w:after="110" w:line="270"/>
      </w:pPr>
      <w:r>
        <w:rPr>
          <w:rFonts w:ascii="Arial" w:cs="Arial" w:eastAsia="Arial" w:hAnsi="Arial"/>
          <w:color w:val="111111"/>
          <w:sz w:val="21"/>
          <w:szCs w:val="21"/>
        </w:rPr>
        <w:t xml:space="preserve">Lead submission stays in test mode until you confirm you are ready for live leads to flow into your systems. Nothing reaches your CRM before you give that confirmation.</w:t>
      </w:r>
    </w:p>
    <w:p>
      <w:pPr>
        <w:pBdr>
          <w:bottom w:val="single" w:color="DCDCDC" w:sz="6" w:space="1"/>
        </w:pBdr>
        <w:spacing w:after="120" w:before="140"/>
      </w:pPr>
      <w:r>
        <w:rPr>
          <w:sz w:val="2"/>
          <w:szCs w:val="2"/>
        </w:rPr>
        <w:t xml:space="preserve"/>
      </w:r>
    </w:p>
    <w:p>
      <w:pPr>
        <w:keepNext/>
        <w:spacing w:after="30"/>
      </w:pPr>
      <w:r>
        <w:rPr>
          <w:rFonts w:ascii="Arial" w:cs="Arial" w:eastAsia="Arial" w:hAnsi="Arial"/>
          <w:b/>
          <w:bCs/>
          <w:color w:val="FFFFFF"/>
          <w:sz w:val="16"/>
          <w:szCs w:val="16"/>
          <w:shd w:fill="66A38F" w:color="auto" w:val="clear"/>
        </w:rPr>
        <w:t xml:space="preserve"> B </w:t>
      </w:r>
      <w:r>
        <w:rPr>
          <w:sz w:val="16"/>
          <w:szCs w:val="16"/>
        </w:rPr>
        <w:t xml:space="preserve">  </w:t>
      </w:r>
      <w:r>
        <w:rPr>
          <w:rFonts w:ascii="Arial" w:cs="Arial" w:eastAsia="Arial" w:hAnsi="Arial"/>
          <w:color w:val="6E6E6E"/>
          <w:spacing w:val="30"/>
          <w:sz w:val="15"/>
          <w:szCs w:val="15"/>
        </w:rPr>
        <w:t xml:space="preserve">SECTION B</w:t>
      </w:r>
    </w:p>
    <w:p>
      <w:pPr>
        <w:keepNext/>
        <w:spacing w:after="110" w:before="40"/>
      </w:pPr>
      <w:r>
        <w:rPr>
          <w:rFonts w:ascii="Arial" w:cs="Arial" w:eastAsia="Arial" w:hAnsi="Arial"/>
          <w:b/>
          <w:bCs/>
          <w:color w:val="000000"/>
          <w:sz w:val="34"/>
          <w:szCs w:val="34"/>
        </w:rPr>
        <w:t xml:space="preserve">PREVIEW IN THE APP.</w:t>
      </w:r>
    </w:p>
    <w:p>
      <w:pPr>
        <w:spacing w:after="130" w:line="270"/>
      </w:pPr>
      <w:r>
        <w:rPr>
          <w:rFonts w:ascii="Arial" w:cs="Arial" w:eastAsia="Arial" w:hAnsi="Arial"/>
          <w:color w:val="111111"/>
          <w:sz w:val="21"/>
          <w:szCs w:val="21"/>
        </w:rPr>
        <w:t xml:space="preserve">Use this to check talk tracks, tone, and how the agent answers questions. It is the fastest way to hear what your customers will hear.</w:t>
      </w:r>
    </w:p>
    <w:p>
      <w:pPr>
        <w:pStyle w:val="ListParagraph"/>
        <w:numPr>
          <w:ilvl w:val="0"/>
          <w:numId w:val="2"/>
        </w:numPr>
        <w:spacing w:after="70" w:line="266"/>
      </w:pPr>
      <w:r>
        <w:rPr>
          <w:rFonts w:ascii="Arial" w:cs="Arial" w:eastAsia="Arial" w:hAnsi="Arial"/>
          <w:color w:val="111111"/>
          <w:sz w:val="21"/>
          <w:szCs w:val="21"/>
        </w:rPr>
        <w:t xml:space="preserve">Open your workspace. The agents available to you are listed there.</w:t>
      </w:r>
    </w:p>
    <w:p>
      <w:pPr>
        <w:pStyle w:val="ListParagraph"/>
        <w:numPr>
          <w:ilvl w:val="0"/>
          <w:numId w:val="2"/>
        </w:numPr>
        <w:spacing w:after="70" w:line="266"/>
      </w:pPr>
      <w:r>
        <w:rPr>
          <w:rFonts w:ascii="Arial" w:cs="Arial" w:eastAsia="Arial" w:hAnsi="Arial"/>
          <w:color w:val="111111"/>
          <w:sz w:val="21"/>
          <w:szCs w:val="21"/>
        </w:rPr>
        <w:t xml:space="preserve">Click an agent to open its configuration.</w:t>
      </w:r>
    </w:p>
    <w:p>
      <w:pPr>
        <w:pStyle w:val="ListParagraph"/>
        <w:numPr>
          <w:ilvl w:val="0"/>
          <w:numId w:val="2"/>
        </w:numPr>
        <w:spacing w:after="70" w:line="266"/>
      </w:pPr>
      <w:r>
        <w:rPr>
          <w:rFonts w:ascii="Arial" w:cs="Arial" w:eastAsia="Arial" w:hAnsi="Arial"/>
          <w:color w:val="111111"/>
          <w:sz w:val="21"/>
          <w:szCs w:val="21"/>
        </w:rPr>
        <w:t xml:space="preserve">Find Test agent in the top right corner, shown in orange.</w:t>
      </w:r>
    </w:p>
    <w:p>
      <w:pPr>
        <w:pStyle w:val="ListParagraph"/>
        <w:numPr>
          <w:ilvl w:val="0"/>
          <w:numId w:val="2"/>
        </w:numPr>
        <w:spacing w:after="70" w:line="266"/>
      </w:pPr>
      <w:r>
        <w:rPr>
          <w:rFonts w:ascii="Arial" w:cs="Arial" w:eastAsia="Arial" w:hAnsi="Arial"/>
          <w:color w:val="111111"/>
          <w:sz w:val="21"/>
          <w:szCs w:val="21"/>
        </w:rPr>
        <w:t xml:space="preserve">Click the blue circle to start talking.</w:t>
      </w:r>
    </w:p>
    <w:p>
      <w:pPr>
        <w:spacing w:after="40"/>
      </w:pPr>
      <w:r>
        <w:rPr>
          <w:sz w:val="2"/>
          <w:szCs w:val="2"/>
        </w:rPr>
        <w:t xml:space="preserve"/>
      </w:r>
    </w:p>
    <w:p>
      <w:pPr>
        <w:pBdr>
          <w:bottom w:val="single" w:color="DCDCDC" w:sz="6" w:space="1"/>
        </w:pBdr>
        <w:spacing w:after="80" w:before="90"/>
      </w:pPr>
      <w:r>
        <w:rPr>
          <w:sz w:val="2"/>
          <w:szCs w:val="2"/>
        </w:rPr>
        <w:t xml:space="preserve"/>
      </w:r>
    </w:p>
    <w:p>
      <w:pPr>
        <w:keepNext/>
        <w:keepLines/>
        <w:spacing w:after="50"/>
      </w:pPr>
      <w:r>
        <w:rPr>
          <w:rFonts w:ascii="Arial" w:cs="Arial" w:eastAsia="Arial" w:hAnsi="Arial"/>
          <w:sz w:val="16"/>
          <w:szCs w:val="16"/>
          <w:shd w:fill="66A38F" w:color="auto" w:val="clear"/>
        </w:rPr>
        <w:t xml:space="preserve">  </w:t>
      </w:r>
      <w:r>
        <w:rPr>
          <w:sz w:val="16"/>
          <w:szCs w:val="16"/>
        </w:rPr>
        <w:t xml:space="preserve">  </w:t>
      </w:r>
      <w:r>
        <w:rPr>
          <w:rFonts w:ascii="Arial" w:cs="Arial" w:eastAsia="Arial" w:hAnsi="Arial"/>
          <w:b/>
          <w:bCs/>
          <w:color w:val="000000"/>
          <w:sz w:val="19"/>
          <w:szCs w:val="19"/>
        </w:rPr>
        <w:t xml:space="preserve">What the preview cannot do</w:t>
      </w:r>
    </w:p>
    <w:p>
      <w:pPr>
        <w:keepNext/>
        <w:keepLines/>
        <w:spacing w:after="60" w:line="266"/>
      </w:pPr>
      <w:r>
        <w:rPr>
          <w:rFonts w:ascii="Arial" w:cs="Arial" w:eastAsia="Arial" w:hAnsi="Arial"/>
          <w:color w:val="111111"/>
          <w:sz w:val="20"/>
          <w:szCs w:val="20"/>
        </w:rPr>
        <w:t xml:space="preserve">The preview tests voice and conversation only. It cannot read your live website and it cannot navigate.</w:t>
      </w:r>
    </w:p>
    <w:p>
      <w:pPr>
        <w:keepNext/>
        <w:keepLines/>
        <w:spacing w:after="60" w:line="266"/>
      </w:pPr>
      <w:r>
        <w:rPr>
          <w:rFonts w:ascii="Arial" w:cs="Arial" w:eastAsia="Arial" w:hAnsi="Arial"/>
          <w:color w:val="111111"/>
          <w:sz w:val="20"/>
          <w:szCs w:val="20"/>
        </w:rPr>
        <w:t xml:space="preserve">If you ask it to pull up an inventory page, the browser blocks the request. Firefox reports this as a page that cannot be displayed. Chrome fails quietly and simply does nothing.</w:t>
      </w:r>
    </w:p>
    <w:p>
      <w:pPr>
        <w:keepNext w:val="false"/>
        <w:keepLines/>
        <w:spacing w:after="60" w:line="266"/>
      </w:pPr>
      <w:r>
        <w:rPr>
          <w:rFonts w:ascii="Arial" w:cs="Arial" w:eastAsia="Arial" w:hAnsi="Arial"/>
          <w:color w:val="111111"/>
          <w:sz w:val="20"/>
          <w:szCs w:val="20"/>
        </w:rPr>
        <w:t xml:space="preserve">This is expected. It does not mean the agent or the navigation is broken. Navigation works on a real site.</w:t>
      </w:r>
    </w:p>
    <w:p>
      <w:pPr>
        <w:pBdr>
          <w:bottom w:val="single" w:color="DCDCDC" w:sz="6" w:space="1"/>
        </w:pBdr>
        <w:spacing w:after="120" w:before="20"/>
      </w:pPr>
      <w:r>
        <w:rPr>
          <w:sz w:val="2"/>
          <w:szCs w:val="2"/>
        </w:rPr>
        <w:t xml:space="preserve"/>
      </w:r>
    </w:p>
    <w:p>
      <w:pPr>
        <w:pBdr>
          <w:bottom w:val="single" w:color="DCDCDC" w:sz="6" w:space="1"/>
        </w:pBdr>
        <w:spacing w:after="120" w:before="140"/>
      </w:pPr>
      <w:r>
        <w:rPr>
          <w:sz w:val="2"/>
          <w:szCs w:val="2"/>
        </w:rPr>
        <w:t xml:space="preserve"/>
      </w:r>
    </w:p>
    <w:p>
      <w:pPr>
        <w:keepNext/>
        <w:spacing w:after="30"/>
      </w:pPr>
      <w:r>
        <w:rPr>
          <w:rFonts w:ascii="Arial" w:cs="Arial" w:eastAsia="Arial" w:hAnsi="Arial"/>
          <w:b/>
          <w:bCs/>
          <w:color w:val="FFFFFF"/>
          <w:sz w:val="16"/>
          <w:szCs w:val="16"/>
          <w:shd w:fill="66A38F" w:color="auto" w:val="clear"/>
        </w:rPr>
        <w:t xml:space="preserve"> C </w:t>
      </w:r>
      <w:r>
        <w:rPr>
          <w:sz w:val="16"/>
          <w:szCs w:val="16"/>
        </w:rPr>
        <w:t xml:space="preserve">  </w:t>
      </w:r>
      <w:r>
        <w:rPr>
          <w:rFonts w:ascii="Arial" w:cs="Arial" w:eastAsia="Arial" w:hAnsi="Arial"/>
          <w:color w:val="6E6E6E"/>
          <w:spacing w:val="30"/>
          <w:sz w:val="15"/>
          <w:szCs w:val="15"/>
        </w:rPr>
        <w:t xml:space="preserve">SECTION C</w:t>
      </w:r>
    </w:p>
    <w:p>
      <w:pPr>
        <w:keepNext/>
        <w:spacing w:after="110" w:before="40"/>
      </w:pPr>
      <w:r>
        <w:rPr>
          <w:rFonts w:ascii="Arial" w:cs="Arial" w:eastAsia="Arial" w:hAnsi="Arial"/>
          <w:b/>
          <w:bCs/>
          <w:color w:val="000000"/>
          <w:sz w:val="34"/>
          <w:szCs w:val="34"/>
        </w:rPr>
        <w:t xml:space="preserve">TEST ON LIVE PAGES.</w:t>
      </w:r>
    </w:p>
    <w:p>
      <w:pPr>
        <w:spacing w:after="130" w:line="270"/>
      </w:pPr>
      <w:r>
        <w:rPr>
          <w:rFonts w:ascii="Arial" w:cs="Arial" w:eastAsia="Arial" w:hAnsi="Arial"/>
          <w:color w:val="111111"/>
          <w:sz w:val="21"/>
          <w:szCs w:val="21"/>
        </w:rPr>
        <w:t xml:space="preserve">The Chrome extension runs your agent on any live page without touching the site itself. This is the closest test to production before you install anything.</w:t>
      </w:r>
    </w:p>
    <w:p>
      <w:pPr>
        <w:pStyle w:val="ListParagraph"/>
        <w:numPr>
          <w:ilvl w:val="0"/>
          <w:numId w:val="3"/>
        </w:numPr>
        <w:spacing w:after="70" w:line="266"/>
      </w:pPr>
      <w:r>
        <w:rPr>
          <w:rFonts w:ascii="Arial" w:cs="Arial" w:eastAsia="Arial" w:hAnsi="Arial"/>
          <w:color w:val="111111"/>
          <w:sz w:val="21"/>
          <w:szCs w:val="21"/>
        </w:rPr>
        <w:t xml:space="preserve">In the Seny dashboard, open Settings, then Browser extension.</w:t>
      </w:r>
    </w:p>
    <w:p>
      <w:pPr>
        <w:pStyle w:val="ListParagraph"/>
        <w:numPr>
          <w:ilvl w:val="0"/>
          <w:numId w:val="3"/>
        </w:numPr>
        <w:spacing w:after="70" w:line="266"/>
      </w:pPr>
      <w:r>
        <w:rPr>
          <w:rFonts w:ascii="Arial" w:cs="Arial" w:eastAsia="Arial" w:hAnsi="Arial"/>
          <w:color w:val="111111"/>
          <w:sz w:val="21"/>
          <w:szCs w:val="21"/>
        </w:rPr>
        <w:t xml:space="preserve">Install the extension and sign in with your Seny account.</w:t>
      </w:r>
    </w:p>
    <w:p>
      <w:pPr>
        <w:pStyle w:val="ListParagraph"/>
        <w:numPr>
          <w:ilvl w:val="0"/>
          <w:numId w:val="3"/>
        </w:numPr>
        <w:spacing w:after="70" w:line="266"/>
      </w:pPr>
      <w:r>
        <w:rPr>
          <w:rFonts w:ascii="Arial" w:cs="Arial" w:eastAsia="Arial" w:hAnsi="Arial"/>
          <w:color w:val="111111"/>
          <w:sz w:val="21"/>
          <w:szCs w:val="21"/>
        </w:rPr>
        <w:t xml:space="preserve">Pick the agent you want to run.</w:t>
      </w:r>
    </w:p>
    <w:p>
      <w:pPr>
        <w:pStyle w:val="ListParagraph"/>
        <w:numPr>
          <w:ilvl w:val="0"/>
          <w:numId w:val="3"/>
        </w:numPr>
        <w:spacing w:after="70" w:line="266"/>
      </w:pPr>
      <w:r>
        <w:rPr>
          <w:rFonts w:ascii="Arial" w:cs="Arial" w:eastAsia="Arial" w:hAnsi="Arial"/>
          <w:color w:val="111111"/>
          <w:sz w:val="21"/>
          <w:szCs w:val="21"/>
        </w:rPr>
        <w:t xml:space="preserve">Open a page on your site and start a conversation.</w:t>
      </w:r>
    </w:p>
    <w:p>
      <w:pPr>
        <w:spacing w:after="40"/>
      </w:pPr>
      <w:r>
        <w:rPr>
          <w:sz w:val="2"/>
          <w:szCs w:val="2"/>
        </w:rPr>
        <w:t xml:space="preserve"/>
      </w:r>
    </w:p>
    <w:p>
      <w:pPr>
        <w:spacing w:after="110" w:line="270"/>
      </w:pPr>
      <w:r>
        <w:rPr>
          <w:rFonts w:ascii="Arial" w:cs="Arial" w:eastAsia="Arial" w:hAnsi="Arial"/>
          <w:color w:val="111111"/>
          <w:sz w:val="21"/>
          <w:szCs w:val="21"/>
        </w:rPr>
        <w:t xml:space="preserve">Here the agent reads the page you are on, answers from your inventory, and can open inventory and vehicle pages the way it will once it is embedded.</w:t>
      </w:r>
    </w:p>
    <w:p>
      <w:pPr>
        <w:pBdr>
          <w:bottom w:val="single" w:color="DCDCDC" w:sz="6" w:space="1"/>
        </w:pBdr>
        <w:spacing w:after="120" w:before="140"/>
      </w:pPr>
      <w:r>
        <w:rPr>
          <w:sz w:val="2"/>
          <w:szCs w:val="2"/>
        </w:rPr>
        <w:t xml:space="preserve"/>
      </w:r>
    </w:p>
    <w:p>
      <w:pPr>
        <w:keepNext/>
        <w:spacing w:after="30"/>
      </w:pPr>
      <w:r>
        <w:rPr>
          <w:rFonts w:ascii="Arial" w:cs="Arial" w:eastAsia="Arial" w:hAnsi="Arial"/>
          <w:b/>
          <w:bCs/>
          <w:color w:val="FFFFFF"/>
          <w:sz w:val="16"/>
          <w:szCs w:val="16"/>
          <w:shd w:fill="66A38F" w:color="auto" w:val="clear"/>
        </w:rPr>
        <w:t xml:space="preserve"> D </w:t>
      </w:r>
      <w:r>
        <w:rPr>
          <w:sz w:val="16"/>
          <w:szCs w:val="16"/>
        </w:rPr>
        <w:t xml:space="preserve">  </w:t>
      </w:r>
      <w:r>
        <w:rPr>
          <w:rFonts w:ascii="Arial" w:cs="Arial" w:eastAsia="Arial" w:hAnsi="Arial"/>
          <w:color w:val="6E6E6E"/>
          <w:spacing w:val="30"/>
          <w:sz w:val="15"/>
          <w:szCs w:val="15"/>
        </w:rPr>
        <w:t xml:space="preserve">SECTION D</w:t>
      </w:r>
    </w:p>
    <w:p>
      <w:pPr>
        <w:keepNext/>
        <w:spacing w:after="110" w:before="40"/>
      </w:pPr>
      <w:r>
        <w:rPr>
          <w:rFonts w:ascii="Arial" w:cs="Arial" w:eastAsia="Arial" w:hAnsi="Arial"/>
          <w:b/>
          <w:bCs/>
          <w:color w:val="000000"/>
          <w:sz w:val="34"/>
          <w:szCs w:val="34"/>
        </w:rPr>
        <w:t xml:space="preserve">TEST EMBEDDED ON STAGING.</w:t>
      </w:r>
    </w:p>
    <w:p>
      <w:pPr>
        <w:spacing w:after="130" w:line="270"/>
      </w:pPr>
      <w:r>
        <w:rPr>
          <w:rFonts w:ascii="Arial" w:cs="Arial" w:eastAsia="Arial" w:hAnsi="Arial"/>
          <w:color w:val="111111"/>
          <w:sz w:val="21"/>
          <w:szCs w:val="21"/>
        </w:rPr>
        <w:t xml:space="preserve">Once the talk tracks look right, install the snippet on your staging site. This behaves exactly as production will, because it is the same install. Steps are in the Seny website embed guide.</w:t>
      </w:r>
    </w:p>
    <w:p>
      <w:pPr>
        <w:pBdr>
          <w:bottom w:val="single" w:color="DCDCDC" w:sz="6" w:space="1"/>
        </w:pBdr>
        <w:spacing w:after="80" w:before="90"/>
      </w:pPr>
      <w:r>
        <w:rPr>
          <w:sz w:val="2"/>
          <w:szCs w:val="2"/>
        </w:rPr>
        <w:t xml:space="preserve"/>
      </w:r>
    </w:p>
    <w:p>
      <w:pPr>
        <w:keepNext/>
        <w:keepLines/>
        <w:spacing w:after="50"/>
      </w:pPr>
      <w:r>
        <w:rPr>
          <w:rFonts w:ascii="Arial" w:cs="Arial" w:eastAsia="Arial" w:hAnsi="Arial"/>
          <w:sz w:val="16"/>
          <w:szCs w:val="16"/>
          <w:shd w:fill="66A38F" w:color="auto" w:val="clear"/>
        </w:rPr>
        <w:t xml:space="preserve">  </w:t>
      </w:r>
      <w:r>
        <w:rPr>
          <w:sz w:val="16"/>
          <w:szCs w:val="16"/>
        </w:rPr>
        <w:t xml:space="preserve">  </w:t>
      </w:r>
      <w:r>
        <w:rPr>
          <w:rFonts w:ascii="Arial" w:cs="Arial" w:eastAsia="Arial" w:hAnsi="Arial"/>
          <w:b/>
          <w:bCs/>
          <w:color w:val="000000"/>
          <w:sz w:val="19"/>
          <w:szCs w:val="19"/>
        </w:rPr>
        <w:t xml:space="preserve">Staging and production are separate</w:t>
      </w:r>
    </w:p>
    <w:p>
      <w:pPr>
        <w:keepNext w:val="false"/>
        <w:keepLines/>
        <w:spacing w:after="60" w:line="266"/>
      </w:pPr>
      <w:r>
        <w:rPr>
          <w:rFonts w:ascii="Arial" w:cs="Arial" w:eastAsia="Arial" w:hAnsi="Arial"/>
          <w:color w:val="111111"/>
          <w:sz w:val="20"/>
          <w:szCs w:val="20"/>
        </w:rPr>
        <w:t xml:space="preserve">Each site gets its own agent and its own snippet. Confirm everything on staging, then repeat the install on production.</w:t>
      </w:r>
    </w:p>
    <w:p>
      <w:pPr>
        <w:pBdr>
          <w:bottom w:val="single" w:color="DCDCDC" w:sz="6" w:space="1"/>
        </w:pBdr>
        <w:spacing w:after="120" w:before="20"/>
      </w:pPr>
      <w:r>
        <w:rPr>
          <w:sz w:val="2"/>
          <w:szCs w:val="2"/>
        </w:rPr>
        <w:t xml:space="preserve"/>
      </w:r>
    </w:p>
    <w:p>
      <w:pPr>
        <w:pBdr>
          <w:bottom w:val="single" w:color="DCDCDC" w:sz="6" w:space="1"/>
        </w:pBdr>
        <w:spacing w:after="120" w:before="140"/>
      </w:pPr>
      <w:r>
        <w:rPr>
          <w:sz w:val="2"/>
          <w:szCs w:val="2"/>
        </w:rPr>
        <w:t xml:space="preserve"/>
      </w:r>
    </w:p>
    <w:p>
      <w:pPr>
        <w:keepNext/>
        <w:spacing w:after="30"/>
      </w:pPr>
      <w:r>
        <w:rPr>
          <w:rFonts w:ascii="Arial" w:cs="Arial" w:eastAsia="Arial" w:hAnsi="Arial"/>
          <w:b/>
          <w:bCs/>
          <w:color w:val="FFFFFF"/>
          <w:sz w:val="16"/>
          <w:szCs w:val="16"/>
          <w:shd w:fill="66A38F" w:color="auto" w:val="clear"/>
        </w:rPr>
        <w:t xml:space="preserve"> E </w:t>
      </w:r>
      <w:r>
        <w:rPr>
          <w:sz w:val="16"/>
          <w:szCs w:val="16"/>
        </w:rPr>
        <w:t xml:space="preserve">  </w:t>
      </w:r>
      <w:r>
        <w:rPr>
          <w:rFonts w:ascii="Arial" w:cs="Arial" w:eastAsia="Arial" w:hAnsi="Arial"/>
          <w:color w:val="6E6E6E"/>
          <w:spacing w:val="30"/>
          <w:sz w:val="15"/>
          <w:szCs w:val="15"/>
        </w:rPr>
        <w:t xml:space="preserve">SECTION E</w:t>
      </w:r>
    </w:p>
    <w:p>
      <w:pPr>
        <w:keepNext/>
        <w:spacing w:after="110" w:before="40"/>
      </w:pPr>
      <w:r>
        <w:rPr>
          <w:rFonts w:ascii="Arial" w:cs="Arial" w:eastAsia="Arial" w:hAnsi="Arial"/>
          <w:b/>
          <w:bCs/>
          <w:color w:val="000000"/>
          <w:sz w:val="34"/>
          <w:szCs w:val="34"/>
        </w:rPr>
        <w:t xml:space="preserve">WHAT THE AGENT KNOWS DURING TESTING.</w:t>
      </w:r>
    </w:p>
    <w:p>
      <w:pPr>
        <w:pStyle w:val="ListParagraph"/>
        <w:numPr>
          <w:ilvl w:val="0"/>
          <w:numId w:val="4"/>
        </w:numPr>
        <w:spacing w:after="70" w:line="266"/>
      </w:pPr>
      <w:r>
        <w:rPr>
          <w:rFonts w:ascii="Arial" w:cs="Arial" w:eastAsia="Arial" w:hAnsi="Arial"/>
          <w:b w:val="false"/>
          <w:bCs w:val="false"/>
          <w:color w:val="000000"/>
          <w:sz w:val="21"/>
          <w:szCs w:val="21"/>
        </w:rPr>
        <w:t xml:space="preserve">It answers from what is published on your website, plus any sources you have approved with FliteHouse. It is not connected to anything else.</w:t>
      </w:r>
    </w:p>
    <w:p>
      <w:pPr>
        <w:pStyle w:val="ListParagraph"/>
        <w:numPr>
          <w:ilvl w:val="0"/>
          <w:numId w:val="4"/>
        </w:numPr>
        <w:spacing w:after="70" w:line="266"/>
      </w:pPr>
      <w:r>
        <w:rPr>
          <w:rFonts w:ascii="Arial" w:cs="Arial" w:eastAsia="Arial" w:hAnsi="Arial"/>
          <w:b w:val="false"/>
          <w:bCs w:val="false"/>
          <w:color w:val="000000"/>
          <w:sz w:val="21"/>
          <w:szCs w:val="21"/>
        </w:rPr>
        <w:t xml:space="preserve">Inventory matching gets sharper as the data connections and customizations are completed. Early gaps during setup are normal and worth reporting.</w:t>
      </w:r>
    </w:p>
    <w:p>
      <w:pPr>
        <w:pStyle w:val="ListParagraph"/>
        <w:numPr>
          <w:ilvl w:val="0"/>
          <w:numId w:val="4"/>
        </w:numPr>
        <w:spacing w:after="70" w:line="266"/>
      </w:pPr>
      <w:r>
        <w:rPr>
          <w:rFonts w:ascii="Arial" w:cs="Arial" w:eastAsia="Arial" w:hAnsi="Arial"/>
          <w:b w:val="false"/>
          <w:bCs w:val="false"/>
          <w:color w:val="000000"/>
          <w:sz w:val="21"/>
          <w:szCs w:val="21"/>
        </w:rPr>
        <w:t xml:space="preserve">Lead submission runs in test mode, so you can push leads through end to end without anything landing in your CRM.</w:t>
      </w:r>
    </w:p>
    <w:p>
      <w:pPr>
        <w:spacing w:after="40"/>
      </w:pPr>
      <w:r>
        <w:rPr>
          <w:sz w:val="2"/>
          <w:szCs w:val="2"/>
        </w:rPr>
        <w:t xml:space="preserve"/>
      </w:r>
    </w:p>
    <w:p>
      <w:pPr>
        <w:pBdr>
          <w:bottom w:val="single" w:color="DCDCDC" w:sz="6" w:space="1"/>
        </w:pBdr>
        <w:spacing w:after="120" w:before="140"/>
      </w:pPr>
      <w:r>
        <w:rPr>
          <w:sz w:val="2"/>
          <w:szCs w:val="2"/>
        </w:rPr>
        <w:t xml:space="preserve"/>
      </w:r>
    </w:p>
    <w:p>
      <w:pPr>
        <w:keepNext/>
        <w:spacing w:after="30"/>
      </w:pPr>
      <w:r>
        <w:rPr>
          <w:rFonts w:ascii="Arial" w:cs="Arial" w:eastAsia="Arial" w:hAnsi="Arial"/>
          <w:b/>
          <w:bCs/>
          <w:color w:val="FFFFFF"/>
          <w:sz w:val="16"/>
          <w:szCs w:val="16"/>
          <w:shd w:fill="66A38F" w:color="auto" w:val="clear"/>
        </w:rPr>
        <w:t xml:space="preserve"> F </w:t>
      </w:r>
      <w:r>
        <w:rPr>
          <w:sz w:val="16"/>
          <w:szCs w:val="16"/>
        </w:rPr>
        <w:t xml:space="preserve">  </w:t>
      </w:r>
      <w:r>
        <w:rPr>
          <w:rFonts w:ascii="Arial" w:cs="Arial" w:eastAsia="Arial" w:hAnsi="Arial"/>
          <w:color w:val="6E6E6E"/>
          <w:spacing w:val="30"/>
          <w:sz w:val="15"/>
          <w:szCs w:val="15"/>
        </w:rPr>
        <w:t xml:space="preserve">SECTION F</w:t>
      </w:r>
    </w:p>
    <w:p>
      <w:pPr>
        <w:keepNext/>
        <w:spacing w:after="110" w:before="40"/>
      </w:pPr>
      <w:r>
        <w:rPr>
          <w:rFonts w:ascii="Arial" w:cs="Arial" w:eastAsia="Arial" w:hAnsi="Arial"/>
          <w:b/>
          <w:bCs/>
          <w:color w:val="000000"/>
          <w:sz w:val="34"/>
          <w:szCs w:val="34"/>
        </w:rPr>
        <w:t xml:space="preserve">BEFORE YOU REPORT A PROBLEM.</w:t>
      </w:r>
    </w:p>
    <w:p>
      <w:pPr>
        <w:spacing w:after="130" w:line="270"/>
      </w:pPr>
      <w:r>
        <w:rPr>
          <w:rFonts w:ascii="Arial" w:cs="Arial" w:eastAsia="Arial" w:hAnsi="Arial"/>
          <w:color w:val="111111"/>
          <w:sz w:val="21"/>
          <w:szCs w:val="21"/>
        </w:rPr>
        <w:t xml:space="preserve">A few checks that resolve most of what gets raised during a trial.</w:t>
      </w:r>
    </w:p>
    <w:p>
      <w:pPr>
        <w:pStyle w:val="ListParagraph"/>
        <w:numPr>
          <w:ilvl w:val="0"/>
          <w:numId w:val="4"/>
        </w:numPr>
        <w:spacing w:after="70" w:line="266"/>
      </w:pPr>
      <w:r>
        <w:rPr>
          <w:rFonts w:ascii="Arial" w:cs="Arial" w:eastAsia="Arial" w:hAnsi="Arial"/>
          <w:b/>
          <w:bCs/>
          <w:color w:val="000000"/>
          <w:sz w:val="21"/>
          <w:szCs w:val="21"/>
        </w:rPr>
        <w:t xml:space="preserve">Check you are in the right workspace.</w:t>
      </w:r>
      <w:r>
        <w:rPr>
          <w:rFonts w:ascii="Arial" w:cs="Arial" w:eastAsia="Arial" w:hAnsi="Arial"/>
          <w:color w:val="111111"/>
          <w:sz w:val="21"/>
          <w:szCs w:val="21"/>
        </w:rPr>
        <w:t xml:space="preserve"> Access to one workspace does not carry over to another. If an agent or a site is missing, ask your FliteHouse contact to add you.</w:t>
      </w:r>
    </w:p>
    <w:p>
      <w:pPr>
        <w:pStyle w:val="ListParagraph"/>
        <w:numPr>
          <w:ilvl w:val="0"/>
          <w:numId w:val="4"/>
        </w:numPr>
        <w:spacing w:after="70" w:line="266"/>
      </w:pPr>
      <w:r>
        <w:rPr>
          <w:rFonts w:ascii="Arial" w:cs="Arial" w:eastAsia="Arial" w:hAnsi="Arial"/>
          <w:b/>
          <w:bCs/>
          <w:color w:val="000000"/>
          <w:sz w:val="21"/>
          <w:szCs w:val="21"/>
        </w:rPr>
        <w:t xml:space="preserve">Check your invitation.</w:t>
      </w:r>
      <w:r>
        <w:rPr>
          <w:rFonts w:ascii="Arial" w:cs="Arial" w:eastAsia="Arial" w:hAnsi="Arial"/>
          <w:color w:val="111111"/>
          <w:sz w:val="21"/>
          <w:szCs w:val="21"/>
        </w:rPr>
        <w:t xml:space="preserve"> Workspace invitations sometimes land in spam or promotions. If it is not there either, ask for it to be sent again.</w:t>
      </w:r>
    </w:p>
    <w:p>
      <w:pPr>
        <w:pStyle w:val="ListParagraph"/>
        <w:numPr>
          <w:ilvl w:val="0"/>
          <w:numId w:val="4"/>
        </w:numPr>
        <w:spacing w:after="70" w:line="266"/>
      </w:pPr>
      <w:r>
        <w:rPr>
          <w:rFonts w:ascii="Arial" w:cs="Arial" w:eastAsia="Arial" w:hAnsi="Arial"/>
          <w:b/>
          <w:bCs/>
          <w:color w:val="000000"/>
          <w:sz w:val="21"/>
          <w:szCs w:val="21"/>
        </w:rPr>
        <w:t xml:space="preserve">Note which method you used.</w:t>
      </w:r>
      <w:r>
        <w:rPr>
          <w:rFonts w:ascii="Arial" w:cs="Arial" w:eastAsia="Arial" w:hAnsi="Arial"/>
          <w:color w:val="111111"/>
          <w:sz w:val="21"/>
          <w:szCs w:val="21"/>
        </w:rPr>
        <w:t xml:space="preserve"> The same request behaves differently in the preview than on a live page, so this is usually the first thing we need to know.</w:t>
      </w:r>
    </w:p>
    <w:p>
      <w:pPr>
        <w:spacing w:after="40"/>
      </w:pPr>
      <w:r>
        <w:rPr>
          <w:sz w:val="2"/>
          <w:szCs w:val="2"/>
        </w:rPr>
        <w:t xml:space="preserve"/>
      </w:r>
    </w:p>
    <w:p>
      <w:pPr>
        <w:spacing w:after="110" w:line="270"/>
      </w:pPr>
      <w:r>
        <w:rPr>
          <w:rFonts w:ascii="Arial" w:cs="Arial" w:eastAsia="Arial" w:hAnsi="Arial"/>
          <w:color w:val="111111"/>
          <w:sz w:val="21"/>
          <w:szCs w:val="21"/>
        </w:rPr>
        <w:t xml:space="preserve">When you do report something, tell us what you asked, what happened, and which browser you used. A screenshot of the page helps us reproduce it quickly.</w:t>
      </w:r>
    </w:p>
    <w:p>
      <w:pPr>
        <w:pBdr>
          <w:bottom w:val="single" w:color="DCDCDC" w:sz="6" w:space="1"/>
        </w:pBdr>
        <w:spacing w:after="0" w:before="60"/>
      </w:pPr>
      <w:r>
        <w:rPr>
          <w:sz w:val="2"/>
          <w:szCs w:val="2"/>
        </w:rPr>
        <w:t xml:space="preserve"/>
      </w:r>
    </w:p>
    <w:sectPr>
      <w:footerReference w:type="default" r:id="rId7"/>
      <w:pgSz w:w="12240" w:h="15840" w:orient="portrait"/>
      <w:pgMar w:top="10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CDCDC" w:sz="6" w:space="6"/>
      </w:pBdr>
      <w:tabs>
        <w:tab w:val="right" w:pos="10080"/>
      </w:tabs>
    </w:pPr>
    <w:r>
      <w:rPr>
        <w:rFonts w:ascii="Arial" w:cs="Arial" w:eastAsia="Arial" w:hAnsi="Arial"/>
        <w:b/>
        <w:bCs/>
        <w:color w:val="000000"/>
        <w:sz w:val="15"/>
        <w:szCs w:val="15"/>
      </w:rPr>
      <w:t xml:space="preserve">FH</w:t>
    </w:r>
    <w:r>
      <w:rPr>
        <w:rFonts w:ascii="Arial" w:cs="Arial" w:eastAsia="Arial" w:hAnsi="Arial"/>
        <w:color w:val="6E6E6E"/>
        <w:sz w:val="15"/>
        <w:szCs w:val="15"/>
      </w:rPr>
      <w:t xml:space="preserve">  /  </w:t>
    </w:r>
    <w:r>
      <w:rPr>
        <w:rFonts w:ascii="Arial" w:cs="Arial" w:eastAsia="Arial" w:hAnsi="Arial"/>
        <w:b/>
        <w:bCs/>
        <w:color w:val="000000"/>
        <w:sz w:val="15"/>
        <w:szCs w:val="15"/>
      </w:rPr>
      <w:t xml:space="preserve">SE</w:t>
    </w:r>
    <w:r>
      <w:rPr>
        <w:rFonts w:ascii="Arial" w:cs="Arial" w:eastAsia="Arial" w:hAnsi="Arial"/>
        <w:color w:val="6E6E6E"/>
        <w:sz w:val="15"/>
        <w:szCs w:val="15"/>
      </w:rPr>
      <w:t xml:space="preserve">  /  </w:t>
    </w:r>
    <w:r>
      <w:rPr>
        <w:rFonts w:ascii="Arial" w:cs="Arial" w:eastAsia="Arial" w:hAnsi="Arial"/>
        <w:b w:val="false"/>
        <w:bCs w:val="false"/>
        <w:color w:val="6E6E6E"/>
        <w:spacing w:val="18"/>
        <w:sz w:val="15"/>
        <w:szCs w:val="15"/>
      </w:rPr>
      <w:t xml:space="preserve">TEST-01</w:t>
    </w:r>
    <w:r>
      <w:rPr>
        <w:rFonts w:ascii="Arial" w:cs="Arial" w:eastAsia="Arial" w:hAnsi="Arial"/>
        <w:color w:val="6E6E6E"/>
        <w:sz w:val="15"/>
        <w:szCs w:val="15"/>
      </w:rPr>
      <w:t xml:space="preserve">  /  </w:t>
    </w:r>
    <w:r>
      <w:rPr>
        <w:rFonts w:ascii="Arial" w:cs="Arial" w:eastAsia="Arial" w:hAnsi="Arial"/>
        <w:b w:val="false"/>
        <w:bCs w:val="false"/>
        <w:color w:val="6E6E6E"/>
        <w:spacing w:val="18"/>
        <w:sz w:val="15"/>
        <w:szCs w:val="15"/>
      </w:rPr>
      <w:t xml:space="preserve">VALIDATE</w:t>
    </w:r>
    <w:r>
      <w:rPr>
        <w:sz w:val="2"/>
        <w:szCs w:val="2"/>
      </w:rPr>
      <w:t xml:space="preserve"/>
    </w:r>
    <w:r>
      <w:rPr>
        <w:rFonts w:ascii="Arial" w:cs="Arial" w:eastAsia="Arial" w:hAnsi="Arial"/>
      </w:rPr>
      <w:t xml:space="preserve">	</w:t>
    </w:r>
    <w:r>
      <w:rPr>
        <w:rFonts w:ascii="Arial" w:cs="Arial" w:eastAsia="Arial" w:hAnsi="Arial"/>
        <w:color w:val="6E6E6E"/>
        <w:sz w:val="15"/>
        <w:szCs w:val="15"/>
      </w:rPr>
      <w:t xml:space="preserve">Seny agent testing · © FliteHouse 2026 · </w:t>
    </w:r>
    <w:r>
      <w:rPr>
        <w:rFonts w:ascii="Arial" w:cs="Arial" w:eastAsia="Arial" w:hAnsi="Arial"/>
        <w:color w:val="6E6E6E"/>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420" w:hanging="420"/>
      </w:pPr>
      <w:rPr>
        <w:rFonts w:ascii="Arial" w:cs="Arial" w:eastAsia="Arial" w:hAnsi="Arial"/>
        <w:b/>
        <w:bCs/>
        <w:color w:val="000000"/>
        <w:sz w:val="20"/>
        <w:szCs w:val="20"/>
      </w:rPr>
    </w:lvl>
  </w:abstractNum>
  <w:abstractNum w:abstractNumId="3" w15:restartNumberingAfterBreak="0">
    <w:multiLevelType w:val="hybridMultilevel"/>
    <w:lvl w:ilvl="0" w15:tentative="1">
      <w:start w:val="1"/>
      <w:numFmt w:val="decimal"/>
      <w:lvlText w:val="%1"/>
      <w:lvlJc w:val="left"/>
      <w:pPr>
        <w:ind w:left="420" w:hanging="420"/>
      </w:pPr>
      <w:rPr>
        <w:rFonts w:ascii="Arial" w:cs="Arial" w:eastAsia="Arial" w:hAnsi="Arial"/>
        <w:b/>
        <w:bCs/>
        <w:color w:val="000000"/>
        <w:sz w:val="20"/>
        <w:szCs w:val="20"/>
      </w:rPr>
    </w:lvl>
  </w:abstractNum>
  <w:abstractNum w:abstractNumId="4" w15:restartNumberingAfterBreak="0">
    <w:multiLevelType w:val="hybridMultilevel"/>
    <w:lvl w:ilvl="0" w15:tentative="1">
      <w:start w:val="1"/>
      <w:numFmt w:val="bullet"/>
      <w:lvlText w:val="▪"/>
      <w:lvlJc w:val="left"/>
      <w:pPr>
        <w:ind w:left="300" w:hanging="300"/>
      </w:pPr>
      <w:rPr>
        <w:rFonts w:ascii="Arial" w:cs="Arial" w:eastAsia="Arial" w:hAnsi="Arial"/>
        <w:color w:val="000000"/>
        <w:sz w:val="18"/>
        <w:szCs w:val="18"/>
      </w:r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00083ef57695a39c58b9ca21292e6733f230c08f.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2026-07-29T20:21:31.674Z</dcterms:created>
  <dcterms:modified xsi:type="dcterms:W3CDTF">2026-07-29T20:21:31.674Z</dcterms:modified>
</cp:coreProperties>
</file>

<file path=docProps/custom.xml><?xml version="1.0" encoding="utf-8"?>
<Properties xmlns="http://schemas.openxmlformats.org/officeDocument/2006/custom-properties" xmlns:vt="http://schemas.openxmlformats.org/officeDocument/2006/docPropsVTypes"/>
</file>